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</w:t>
      </w:r>
      <w:r w:rsidR="004F77A8">
        <w:rPr>
          <w:rFonts w:ascii="PT Astra Serif" w:hAnsi="PT Astra Serif"/>
          <w:sz w:val="28"/>
          <w:szCs w:val="28"/>
        </w:rPr>
        <w:t>10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E64F8D">
        <w:rPr>
          <w:rFonts w:ascii="PT Astra Serif" w:hAnsi="PT Astra Serif"/>
          <w:sz w:val="28"/>
          <w:szCs w:val="28"/>
        </w:rPr>
        <w:t>5</w:t>
      </w:r>
      <w:r w:rsidR="004F77A8">
        <w:rPr>
          <w:rFonts w:ascii="PT Astra Serif" w:hAnsi="PT Astra Serif"/>
          <w:sz w:val="28"/>
          <w:szCs w:val="28"/>
        </w:rPr>
        <w:t>04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 xml:space="preserve">пятьсот </w:t>
      </w:r>
      <w:r w:rsidR="004F77A8">
        <w:rPr>
          <w:rFonts w:ascii="PT Astra Serif" w:hAnsi="PT Astra Serif"/>
          <w:sz w:val="28"/>
          <w:szCs w:val="28"/>
        </w:rPr>
        <w:t>четыре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4F77A8">
        <w:rPr>
          <w:rFonts w:ascii="PT Astra Serif" w:hAnsi="PT Astra Serif"/>
          <w:sz w:val="28"/>
          <w:szCs w:val="28"/>
        </w:rPr>
        <w:t>а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B91A7B">
        <w:rPr>
          <w:rFonts w:ascii="PT Astra Serif" w:hAnsi="PT Astra Serif"/>
          <w:sz w:val="28"/>
          <w:szCs w:val="28"/>
        </w:rPr>
        <w:t>9</w:t>
      </w:r>
      <w:r w:rsidR="004F77A8">
        <w:rPr>
          <w:rFonts w:ascii="PT Astra Serif" w:hAnsi="PT Astra Serif"/>
          <w:sz w:val="28"/>
          <w:szCs w:val="28"/>
        </w:rPr>
        <w:t>6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 xml:space="preserve">10 </w:t>
      </w:r>
      <w:r w:rsidR="004F77A8">
        <w:rPr>
          <w:rFonts w:ascii="PT Astra Serif" w:hAnsi="PT Astra Serif"/>
          <w:sz w:val="28"/>
          <w:szCs w:val="28"/>
        </w:rPr>
        <w:t>191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десять тысяч </w:t>
      </w:r>
      <w:r w:rsidR="004F77A8">
        <w:rPr>
          <w:rFonts w:ascii="PT Astra Serif" w:hAnsi="PT Astra Serif"/>
          <w:sz w:val="28"/>
          <w:szCs w:val="28"/>
        </w:rPr>
        <w:t>сто девяносто один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4F77A8">
        <w:rPr>
          <w:rFonts w:ascii="PT Astra Serif" w:hAnsi="PT Astra Serif"/>
          <w:sz w:val="28"/>
          <w:szCs w:val="28"/>
        </w:rPr>
        <w:t>86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73" w:rsidRDefault="00A54373" w:rsidP="00C879F2">
      <w:r>
        <w:separator/>
      </w:r>
    </w:p>
  </w:endnote>
  <w:endnote w:type="continuationSeparator" w:id="0">
    <w:p w:rsidR="00A54373" w:rsidRDefault="00A54373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73" w:rsidRDefault="00A54373" w:rsidP="00C879F2">
      <w:r>
        <w:separator/>
      </w:r>
    </w:p>
  </w:footnote>
  <w:footnote w:type="continuationSeparator" w:id="0">
    <w:p w:rsidR="00A54373" w:rsidRDefault="00A54373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7A8">
          <w:rPr>
            <w:noProof/>
          </w:rPr>
          <w:t>3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4F77A8"/>
    <w:rsid w:val="00510660"/>
    <w:rsid w:val="005119B0"/>
    <w:rsid w:val="00512B8B"/>
    <w:rsid w:val="005324AC"/>
    <w:rsid w:val="005628D3"/>
    <w:rsid w:val="005A2009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1680E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54373"/>
    <w:rsid w:val="00A62F23"/>
    <w:rsid w:val="00A733D2"/>
    <w:rsid w:val="00AA6A55"/>
    <w:rsid w:val="00AB3670"/>
    <w:rsid w:val="00AF72E2"/>
    <w:rsid w:val="00B26645"/>
    <w:rsid w:val="00B30738"/>
    <w:rsid w:val="00B33031"/>
    <w:rsid w:val="00B51213"/>
    <w:rsid w:val="00B9134E"/>
    <w:rsid w:val="00B91A7B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2025-09-30T12:47:00Z</dcterms:created>
  <dcterms:modified xsi:type="dcterms:W3CDTF">2025-09-30T12:47:00Z</dcterms:modified>
</cp:coreProperties>
</file>